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D0B7" w14:textId="4099B084" w:rsidR="00C11D0D" w:rsidRDefault="00F11ECB">
      <w:r>
        <w:t>Chapitre 1</w:t>
      </w:r>
    </w:p>
    <w:p w14:paraId="4DE00669" w14:textId="65CEC440" w:rsidR="00F11ECB" w:rsidRDefault="00F11ECB">
      <w:r>
        <w:t>Chapitre 2</w:t>
      </w:r>
    </w:p>
    <w:p w14:paraId="19E68B12" w14:textId="4E1FE9B6" w:rsidR="00F11ECB" w:rsidRDefault="00F11ECB">
      <w:r>
        <w:t>Chapitre 3</w:t>
      </w:r>
    </w:p>
    <w:p w14:paraId="2DA4F7D2" w14:textId="77777777" w:rsidR="00F11ECB" w:rsidRDefault="00F11ECB"/>
    <w:p w14:paraId="749DC62C" w14:textId="559EFAF3" w:rsidR="00F11ECB" w:rsidRDefault="00F11ECB">
      <w:r>
        <w:t xml:space="preserve">Chapitre 1 l’éventail </w:t>
      </w:r>
    </w:p>
    <w:p w14:paraId="03DFC214" w14:textId="77777777" w:rsidR="00F05D75" w:rsidRDefault="00F05D75" w:rsidP="00F05D75">
      <w:pPr>
        <w:pStyle w:val="NormalWeb"/>
      </w:pPr>
      <w:r>
        <w:t>Sous sa forme universelle, il est un écran rigide avec un manche. Le plus souvent, en France, l'éventail renvoie à un accessoire de mode de la forme d’un demi-disque dont la feuille est faite de matériaux légers (tissu, cuir, papier, etc.) plissés et montés sur des brins qui pivotent autour d'un axe (appelé « rivure »), permettant ainsi à l’objet de se fermer pour diminuer son encombrement et être transporté aisément.</w:t>
      </w:r>
    </w:p>
    <w:p w14:paraId="3A252972" w14:textId="77777777" w:rsidR="00F05D75" w:rsidRDefault="00F05D75" w:rsidP="00F05D75">
      <w:pPr>
        <w:pStyle w:val="NormalWeb"/>
      </w:pPr>
      <w:r>
        <w:t>L'usage des éventails est attesté dès l'</w:t>
      </w:r>
      <w:hyperlink r:id="rId4" w:tooltip="Antiquité" w:history="1">
        <w:r>
          <w:rPr>
            <w:rStyle w:val="Lienhypertexte"/>
          </w:rPr>
          <w:t>Antiquité</w:t>
        </w:r>
      </w:hyperlink>
      <w:r>
        <w:t xml:space="preserve">. Ils ont été et sont encore utilisés non seulement pour s'éventer, mais aussi comme vecteurs de messages, objets publicitaires ou de propagande politique, accessoires de </w:t>
      </w:r>
      <w:hyperlink r:id="rId5" w:tooltip="Mode (habillement)" w:history="1">
        <w:r>
          <w:rPr>
            <w:rStyle w:val="Lienhypertexte"/>
          </w:rPr>
          <w:t>mode</w:t>
        </w:r>
      </w:hyperlink>
      <w:r>
        <w:t>, de danse ou de théâtre, etc.</w:t>
      </w:r>
    </w:p>
    <w:p w14:paraId="3EB3CC63" w14:textId="77777777" w:rsidR="00F05D75" w:rsidRDefault="00F05D75" w:rsidP="00F05D75">
      <w:pPr>
        <w:pStyle w:val="NormalWeb"/>
      </w:pPr>
      <w:r>
        <w:t>Un autre dispositif portatif qui permet de se préserver de la chaleur uniquement rayonnée par le Soleil est l'</w:t>
      </w:r>
      <w:hyperlink r:id="rId6" w:tooltip="Ombrelle" w:history="1">
        <w:r>
          <w:rPr>
            <w:rStyle w:val="Lienhypertexte"/>
          </w:rPr>
          <w:t>ombrelle</w:t>
        </w:r>
      </w:hyperlink>
      <w:r>
        <w:t>.</w:t>
      </w:r>
    </w:p>
    <w:p w14:paraId="6A900D46" w14:textId="074D1909" w:rsidR="00F11ECB" w:rsidRDefault="00F05D75">
      <w:r>
        <w:t>Chapitre 2 la roue</w:t>
      </w:r>
    </w:p>
    <w:p w14:paraId="721A98E0" w14:textId="77777777" w:rsidR="00F05D75" w:rsidRPr="00F05D75" w:rsidRDefault="00F05D75" w:rsidP="00F0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traces de roues, des représentations de roues, des modèles réduits de roues, ou encore des vestiges de roues elles-mêmes, font leur apparition archéologiquement en différents lieux d'</w:t>
      </w:r>
      <w:hyperlink r:id="rId7" w:tooltip="Europ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Europe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du </w:t>
      </w:r>
      <w:hyperlink r:id="rId8" w:tooltip="Proche-Orient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Proche-Orient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vers la fin du </w:t>
      </w:r>
      <w:hyperlink r:id="rId9" w:tooltip="Néolithiqu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Néolithique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mais la rareté et la dispersion des vestiges l'attestant ainsi que le potentiel de diffusion rapide propre à cette technologie posent d'importantes difficultés pour déterminer précisément le lieu et l'époque de l'invention des premières roues.</w:t>
      </w:r>
    </w:p>
    <w:p w14:paraId="0167AB03" w14:textId="77777777" w:rsidR="00F05D75" w:rsidRPr="00F05D75" w:rsidRDefault="00F05D75" w:rsidP="00F0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L'</w:t>
      </w:r>
      <w:hyperlink r:id="rId10" w:tooltip="Invention (technique)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invention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la roue a longtemps été attribuée à </w:t>
      </w:r>
      <w:hyperlink r:id="rId11" w:tooltip="Sumer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Sumer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basse </w:t>
      </w:r>
      <w:hyperlink r:id="rId12" w:tooltip="Mésopotami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Mésopotamie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dans la seconde moitié du </w:t>
      </w:r>
      <w:hyperlink r:id="rId13" w:tooltip="IVe millénaire av. J.-C.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IV</w:t>
        </w:r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 w:eastAsia="fr-FR"/>
            <w14:ligatures w14:val="none"/>
          </w:rPr>
          <w:t>e</w:t>
        </w:r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 millénaire av. J.-C.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à la suite de l'interprétation de </w:t>
      </w:r>
      <w:hyperlink r:id="rId14" w:tooltip="Pictogramm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pictogrammes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 La roue de transport était alors considérée comme une invention dérivée du tour de potier également attestée à Sumer à cette époque. En réalité la première utilisation attestée de véhicules à roues en Mésopotamie date de la première moitié du III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e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millénaire av. J.-C.</w:t>
      </w:r>
      <w:hyperlink r:id="rId15" w:tooltip="Aide:Référence nécessair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 w:eastAsia="fr-FR"/>
            <w14:ligatures w14:val="none"/>
          </w:rPr>
          <w:t>[réf. nécessaire]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Mais le </w:t>
      </w:r>
      <w:hyperlink r:id="rId16" w:tooltip="Pot de Bronocic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pot de </w:t>
        </w:r>
        <w:proofErr w:type="spellStart"/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Bronocice</w:t>
        </w:r>
        <w:proofErr w:type="spellEnd"/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découvert en </w:t>
      </w:r>
      <w:hyperlink r:id="rId17" w:tooltip="Pologn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Pologne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1974, présente un pictogramme gravé qui est la représentation d'un chariot à quatre roues et on estime sa datation à </w:t>
      </w:r>
      <w:hyperlink r:id="rId18" w:tooltip="-3500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3500 ans av. J.-C.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de la </w:t>
      </w:r>
      <w:hyperlink r:id="rId19" w:tooltip="Culture des vases à entonnoir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culture des vases à entonnoir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ce qui a permis de mettre en doute l'origine sumérienne de la roue.</w:t>
      </w:r>
    </w:p>
    <w:p w14:paraId="01183948" w14:textId="77777777" w:rsidR="00F05D75" w:rsidRPr="00F05D75" w:rsidRDefault="00F05D75" w:rsidP="00F0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 chariots à roue datant du début du III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e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millénaire av. J.-C. sont découverts dans les </w:t>
      </w:r>
      <w:hyperlink r:id="rId20" w:tooltip="Kourgan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kourganes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des premiers peuples </w:t>
      </w:r>
      <w:hyperlink r:id="rId21" w:tooltip="Indo-européens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indo-européens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supposés de la </w:t>
      </w:r>
      <w:hyperlink r:id="rId22" w:tooltip="Culture de Yamna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culture de </w:t>
        </w:r>
        <w:proofErr w:type="spellStart"/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Yamna</w:t>
        </w:r>
        <w:proofErr w:type="spellEnd"/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des cultures dérivées, et deux chariots plus anciens sont découverts dans un kourgane de la </w:t>
      </w:r>
      <w:hyperlink r:id="rId23" w:tooltip="Culture de Maïkop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culture de Maïkop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dans le </w:t>
      </w:r>
      <w:hyperlink r:id="rId24" w:tooltip="Kouban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Kouban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au nord du </w:t>
      </w:r>
      <w:hyperlink r:id="rId25" w:tooltip="Caucas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Caucase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,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Un jouet en forme de taureau à roues et d'autres indices attestent de la connaissance de la roue plus anciennement encore dans la </w:t>
      </w:r>
      <w:hyperlink r:id="rId26" w:tooltip="Culture de Cucuteni-Trypillia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culture de </w:t>
        </w:r>
        <w:proofErr w:type="spellStart"/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Cucuteni-Trypillia</w:t>
        </w:r>
        <w:proofErr w:type="spellEnd"/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</w:t>
      </w:r>
      <w:hyperlink r:id="rId27" w:tooltip="Ukrain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Ukraine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dès la première moitié du IV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e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millénaire av. J.-C., la culture de </w:t>
      </w:r>
      <w:proofErr w:type="spellStart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Cucuteni-Trypillia</w:t>
      </w:r>
      <w:proofErr w:type="spellEnd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utilisait d'ailleurs aussi un tour de potier indépendamment de Sumer. Et enfin la découverte de vraies roues de véhicules en bois en Europe centrale datant de la fin du IV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e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millénaire av. J.-C. a définitivement mis un terme à la théorie de l'invention sumérienne.</w:t>
      </w:r>
    </w:p>
    <w:p w14:paraId="195A3290" w14:textId="77777777" w:rsidR="00F05D75" w:rsidRPr="00F05D75" w:rsidRDefault="00F05D75" w:rsidP="00F0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La plus ancienne véritable roue en bois montée sur un axe qui a pu être conformément datée a été découverte en 2002 enfouie dans un marais (facilitant la conservation) près de </w:t>
      </w:r>
      <w:hyperlink r:id="rId28" w:tooltip="Ljubljana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Ljubljana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</w:t>
      </w:r>
      <w:hyperlink r:id="rId29" w:tooltip="Slovéni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Slovénie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Cet </w:t>
      </w:r>
      <w:hyperlink r:id="rId30" w:tooltip="Artéfact (archéologie)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artéfact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hyperlink r:id="rId31" w:tooltip="Néolithiqu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néolithique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daté au radiocarbone de 3340-3030 av. J.-C. pour la roue et de 3360-3045 av. J.-C. pour l'axe. Mais la roue du marais de Ljubljana </w:t>
      </w:r>
      <w:hyperlink r:id="rId32" w:tooltip="en:Ljubljana Marshes Wheel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(en)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n'est pas isolée et d'autres roues de la même période sont maintenant connues en Europe centrale. Deux techniques distinctes d'assemblage roue-axe sont actuellement identifiées en Europe pour les premières roues du </w:t>
      </w:r>
      <w:hyperlink r:id="rId33" w:tooltip="Néolithiqu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Néolithique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: un type de construction de chariot </w:t>
      </w:r>
      <w:proofErr w:type="spellStart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péri-alpin</w:t>
      </w:r>
      <w:proofErr w:type="spellEnd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trouvé dans les </w:t>
      </w:r>
      <w:hyperlink r:id="rId34" w:tooltip="Sites palafittiques préhistoriques autour des Alpes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sites palafittiques autour des Alpes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où la roue et l'axe tournent ensemble, comme c'est le cas de la roue de Ljubljana </w:t>
      </w:r>
      <w:proofErr w:type="spellStart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Marshes</w:t>
      </w:r>
      <w:proofErr w:type="spellEnd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et une technique connue dans la </w:t>
      </w:r>
      <w:hyperlink r:id="rId35" w:tooltip="Culture de Baden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culture de Baden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</w:t>
      </w:r>
      <w:hyperlink r:id="rId36" w:tooltip="Hongri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Hongrie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où l'axe reste fixe. Les deux techniques semblent contemporaines et sont attestées entre 3200 et 3000 av. J.-C.</w:t>
      </w:r>
    </w:p>
    <w:p w14:paraId="34526E27" w14:textId="77777777" w:rsidR="00F05D75" w:rsidRPr="00F05D75" w:rsidRDefault="00F05D75" w:rsidP="00F0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 suppose que les civilisations de l'</w:t>
      </w:r>
      <w:hyperlink r:id="rId37" w:tooltip="Amérique précolombienn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Amérique précolombienne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(notamment Aztèque, </w:t>
      </w:r>
      <w:proofErr w:type="spellStart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Tiwanaku</w:t>
      </w:r>
      <w:proofErr w:type="spellEnd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Aymara, </w:t>
      </w:r>
      <w:hyperlink r:id="rId38" w:tooltip="Inca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Inca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hyperlink r:id="rId39" w:tooltip="Civilisation maya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Maya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n'utilisaient pas la roue, pourtant celle-ci et son mécanisme (roue et axe) sont représentées dans divers objets en </w:t>
      </w:r>
      <w:hyperlink r:id="rId40" w:tooltip="Terre cuit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terre cuite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trouvés dans l'aire Maya, notamment à </w:t>
      </w:r>
      <w:proofErr w:type="spellStart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Tres</w:t>
      </w:r>
      <w:proofErr w:type="spellEnd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Zapotes</w:t>
      </w:r>
      <w:proofErr w:type="spellEnd"/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(200 à 900 après J.-C.), et considérés comme des jouets. Parmi les hypothèses suggérées, </w:t>
      </w:r>
      <w:hyperlink r:id="rId41" w:tooltip="Alain Gras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Alain Gras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évoque le choix de certaines cultures de ne pas s'engager dans des trajectoires technologiques, accessibles en termes de faisabilité mais jugées non souhaitables par les dirigeants. Pour </w:t>
      </w:r>
      <w:hyperlink r:id="rId42" w:tooltip="Raphaël Meltz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Raphaël </w:t>
        </w:r>
        <w:proofErr w:type="spellStart"/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Meltz</w:t>
        </w:r>
        <w:proofErr w:type="spellEnd"/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le relief, l'épaisse végétation et les nombreux </w:t>
      </w:r>
      <w:hyperlink r:id="rId43" w:tooltip="Pont de corde inca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ponts en cordes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seraient une explication. </w:t>
      </w:r>
      <w:hyperlink r:id="rId44" w:tooltip="Jared Diamond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Jared Diamond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pense pour sa part que seules les civilisations qui disposaient d'animaux de trait (ce qui n'était pas le cas des </w:t>
      </w:r>
      <w:hyperlink r:id="rId45" w:tooltip="Amérindiens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Amérindiens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ont utilisé des attelages ; la roue n'étant pas utile pour les autres. La roue était également inconnue en </w:t>
      </w:r>
      <w:hyperlink r:id="rId46" w:tooltip="Afrique subsaharienn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Afrique subsaharienne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(à l'exception de la </w:t>
      </w:r>
      <w:hyperlink r:id="rId47" w:tooltip="Corne de l'Afriqu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Corne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africaine depuis longtemps liée culturellement avec le Proche-Orient), ainsi qu'en </w:t>
      </w:r>
      <w:hyperlink r:id="rId48" w:tooltip="Océani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Océanie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jusqu'à son apport par la </w:t>
      </w:r>
      <w:hyperlink r:id="rId49" w:tooltip="Empire colonial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colonisation européenne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,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5958A353" w14:textId="77777777" w:rsidR="00F05D75" w:rsidRPr="00F05D75" w:rsidRDefault="00F05D75" w:rsidP="00F0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Les premières roues étaient pleines, en </w:t>
      </w:r>
      <w:hyperlink r:id="rId50" w:tooltip="Bois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bois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souvent constituées de trois ou quatre pièces assemblées.</w:t>
      </w:r>
    </w:p>
    <w:p w14:paraId="387E7E7B" w14:textId="77777777" w:rsidR="00F05D75" w:rsidRPr="00F05D75" w:rsidRDefault="00F05D75" w:rsidP="00F05D75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fr-FR"/>
          <w14:ligatures w14:val="none"/>
        </w:rPr>
      </w:pP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begin"/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instrText>HYPERLINK "https://www.wikiwand.com/fr/Fichier:Chariot_spread.png"</w:instrTex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67C7163D" w14:textId="2587BA93" w:rsidR="00F05D75" w:rsidRPr="00F05D75" w:rsidRDefault="00F05D75" w:rsidP="00F05D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BAD0F08" w14:textId="77777777" w:rsidR="00F05D75" w:rsidRPr="00F05D75" w:rsidRDefault="00F05D75" w:rsidP="00F05D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end"/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Expansion du </w:t>
      </w:r>
      <w:hyperlink r:id="rId51" w:tooltip="Char de combat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char de combat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léger en Eurasie durant l'âge du bronze, depuis la </w:t>
      </w:r>
      <w:hyperlink r:id="rId52" w:tooltip="Culture de Sintashta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culture de </w:t>
        </w:r>
        <w:proofErr w:type="spellStart"/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Sintashta</w:t>
        </w:r>
        <w:proofErr w:type="spellEnd"/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dans le sud de l'Oural. </w:t>
      </w:r>
    </w:p>
    <w:p w14:paraId="19267CD3" w14:textId="77777777" w:rsidR="00F05D75" w:rsidRPr="00F05D75" w:rsidRDefault="00F05D75" w:rsidP="00F0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Les roues à rayons et à jantes, à la fois bien plus légères et plus stables, apparaissent vers </w:t>
      </w:r>
      <w:hyperlink r:id="rId53" w:tooltip="-2000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2000 ans av. J.-C.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dans la </w:t>
      </w:r>
      <w:hyperlink r:id="rId54" w:tooltip="Culture de Sintashta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culture de </w:t>
        </w:r>
        <w:proofErr w:type="spellStart"/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Sintashta</w:t>
        </w:r>
        <w:proofErr w:type="spellEnd"/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une culture indo-européenne au sud de l'</w:t>
      </w:r>
      <w:hyperlink r:id="rId55" w:tooltip="Oural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Oural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Il s'agit alors des premiers </w:t>
      </w:r>
      <w:hyperlink r:id="rId56" w:tooltip="Char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chars de combat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légers, rapides et maniables, tirés par des chevaux. Cette technologie a probablement beaucoup contribué à l'expansion des </w:t>
      </w:r>
      <w:hyperlink r:id="rId57" w:tooltip="Langues indo-iraniennes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langues indo-iraniennes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Asie du Sud depuis la </w:t>
      </w:r>
      <w:hyperlink r:id="rId58" w:tooltip="Steppe eurasienn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steppe d'Eurasie centrale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mais la technique se diffuse aussi rapidement à d'autres peuples. La pratique de l'enterrement des chars et des chevaux dans des </w:t>
      </w:r>
      <w:hyperlink r:id="rId59" w:tooltip="Kourgane" w:history="1">
        <w:r w:rsidRPr="00F05D7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kourganes</w:t>
        </w:r>
      </w:hyperlink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avec leurs propriétaires défunts a permis aux archéologues d'en découvrir un grand nombre et de suivre son expansion géographique. Ainsi, les chars de combat avec roues à rayons et jantes se répandront rapidement dans toute l'Eurasie, en même temps que les chevaux domestiques, de l'Europe jusqu'à la Chine, l'Inde et l'Égypte, durant le II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e</w:t>
      </w:r>
      <w:r w:rsidRPr="00F05D7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millénaire av. J.-C.. La roue semble faire son apparition pour la première fois en Égypte et en Chine avec l'arrivée de ces chars de combat.</w:t>
      </w:r>
    </w:p>
    <w:p w14:paraId="52B05211" w14:textId="77777777" w:rsidR="00F05D75" w:rsidRDefault="00F05D75"/>
    <w:p w14:paraId="0198660D" w14:textId="77777777" w:rsidR="00F05D75" w:rsidRDefault="00F05D75"/>
    <w:p w14:paraId="77015CBA" w14:textId="77777777" w:rsidR="00F05D75" w:rsidRDefault="00F05D75"/>
    <w:p w14:paraId="5769DF2E" w14:textId="2BC43219" w:rsidR="00F05D75" w:rsidRDefault="00F05D75">
      <w:r>
        <w:t>Chapitre 3 bourgeon</w:t>
      </w:r>
    </w:p>
    <w:p w14:paraId="26703C37" w14:textId="77777777" w:rsidR="00F11ECB" w:rsidRDefault="00F11ECB"/>
    <w:p w14:paraId="70DAE70E" w14:textId="77777777" w:rsidR="00F05D75" w:rsidRDefault="00F05D75" w:rsidP="00F05D75">
      <w:pPr>
        <w:pStyle w:val="NormalWeb"/>
      </w:pPr>
      <w:r>
        <w:t>Le bourgeon assure la croissance et la ramification des tiges.</w:t>
      </w:r>
    </w:p>
    <w:p w14:paraId="18DEEFFC" w14:textId="77777777" w:rsidR="00F05D75" w:rsidRDefault="00F05D75" w:rsidP="00F05D75">
      <w:pPr>
        <w:pStyle w:val="NormalWeb"/>
      </w:pPr>
      <w:r>
        <w:t>Selon l'</w:t>
      </w:r>
      <w:hyperlink r:id="rId60" w:tooltip="Organe" w:history="1">
        <w:r>
          <w:rPr>
            <w:rStyle w:val="Lienhypertexte"/>
          </w:rPr>
          <w:t>organe</w:t>
        </w:r>
      </w:hyperlink>
      <w:r>
        <w:t xml:space="preserve"> auquel il donne naissance, on parle de bourgeon à feuilles (« bourgeon végétatif » donnant naissance à une tige feuillée) et à fleurs (« bouton », « bourgeon floral » ou bourgeon </w:t>
      </w:r>
      <w:hyperlink r:id="rId61" w:tooltip="Inflorescence" w:history="1">
        <w:proofErr w:type="spellStart"/>
        <w:r>
          <w:rPr>
            <w:rStyle w:val="Lienhypertexte"/>
          </w:rPr>
          <w:t>inflorescentiel</w:t>
        </w:r>
        <w:proofErr w:type="spellEnd"/>
      </w:hyperlink>
      <w:r>
        <w:t>, issus de l’</w:t>
      </w:r>
      <w:hyperlink r:id="rId62" w:tooltip="Induction florale" w:history="1">
        <w:r>
          <w:rPr>
            <w:rStyle w:val="Lienhypertexte"/>
          </w:rPr>
          <w:t>induction florale</w:t>
        </w:r>
      </w:hyperlink>
      <w:r>
        <w:t xml:space="preserve"> du bourgeon végétatif). En </w:t>
      </w:r>
      <w:hyperlink r:id="rId63" w:tooltip="Arboriculture" w:history="1">
        <w:r>
          <w:rPr>
            <w:rStyle w:val="Lienhypertexte"/>
          </w:rPr>
          <w:t>arboriculture</w:t>
        </w:r>
      </w:hyperlink>
      <w:r>
        <w:t>, ils sont désignés respectivement sous le terme de « bourgeon à bois » et « bourgeon à fruit ».</w:t>
      </w:r>
    </w:p>
    <w:p w14:paraId="3BA95F9A" w14:textId="77777777" w:rsidR="00F05D75" w:rsidRDefault="00F05D75" w:rsidP="00F05D75">
      <w:pPr>
        <w:pStyle w:val="NormalWeb"/>
      </w:pPr>
      <w:r>
        <w:t xml:space="preserve">Les botanistes distinguent, suivant leur position sur la tige, les bourgeons terminaux situés à l'extrémité de la tige, les bourgeons axillaires situés à l'aisselle des feuilles, et les bourgeons </w:t>
      </w:r>
      <w:hyperlink r:id="rId64" w:tooltip="Adventif" w:history="1">
        <w:r>
          <w:rPr>
            <w:rStyle w:val="Lienhypertexte"/>
          </w:rPr>
          <w:t>adventifs</w:t>
        </w:r>
      </w:hyperlink>
      <w:r>
        <w:t xml:space="preserve"> (aussi appelés latéraux ou </w:t>
      </w:r>
      <w:hyperlink r:id="rId65" w:tooltip="Stipulaire" w:history="1">
        <w:r>
          <w:rPr>
            <w:rStyle w:val="Lienhypertexte"/>
          </w:rPr>
          <w:t>stipulaires</w:t>
        </w:r>
      </w:hyperlink>
      <w:r>
        <w:t xml:space="preserve">) apparaissant autour du bourgeon principal. Chez les </w:t>
      </w:r>
      <w:hyperlink r:id="rId66" w:tooltip="Arbre" w:history="1">
        <w:r>
          <w:rPr>
            <w:rStyle w:val="Lienhypertexte"/>
          </w:rPr>
          <w:t>arbres</w:t>
        </w:r>
      </w:hyperlink>
      <w:r>
        <w:t>, ils distinguent les bourgeons distaux (les plus éloignés du tronc, phénomène d'</w:t>
      </w:r>
      <w:hyperlink r:id="rId67" w:tooltip="Acrotonie" w:history="1">
        <w:r>
          <w:rPr>
            <w:rStyle w:val="Lienhypertexte"/>
          </w:rPr>
          <w:t>acrotonie</w:t>
        </w:r>
      </w:hyperlink>
      <w:r>
        <w:t xml:space="preserve">) des bourgeons proximaux ou latéraux (les plus proches du bourgeon terminal, phénomène de </w:t>
      </w:r>
      <w:hyperlink r:id="rId68" w:tooltip="Basitonie" w:history="1">
        <w:r>
          <w:rPr>
            <w:rStyle w:val="Lienhypertexte"/>
          </w:rPr>
          <w:t>basitonie</w:t>
        </w:r>
      </w:hyperlink>
      <w:r>
        <w:t xml:space="preserve"> principalement chez les </w:t>
      </w:r>
      <w:hyperlink r:id="rId69" w:tooltip="Arbuste" w:history="1">
        <w:r>
          <w:rPr>
            <w:rStyle w:val="Lienhypertexte"/>
          </w:rPr>
          <w:t>arbustes</w:t>
        </w:r>
      </w:hyperlink>
      <w:r>
        <w:t xml:space="preserve">). Le développement de tel ou tel bourgeon développe une </w:t>
      </w:r>
      <w:hyperlink r:id="rId70" w:tooltip="Morphogénèse" w:history="1">
        <w:r>
          <w:rPr>
            <w:rStyle w:val="Lienhypertexte"/>
          </w:rPr>
          <w:t>morphogénèse</w:t>
        </w:r>
      </w:hyperlink>
      <w:r>
        <w:t xml:space="preserve"> particulière responsable du </w:t>
      </w:r>
      <w:hyperlink r:id="rId71" w:tooltip="Port (botanique)" w:history="1">
        <w:r>
          <w:rPr>
            <w:rStyle w:val="Lienhypertexte"/>
          </w:rPr>
          <w:t>port</w:t>
        </w:r>
      </w:hyperlink>
      <w:r>
        <w:t xml:space="preserve"> caractéristique de chaque plante.</w:t>
      </w:r>
    </w:p>
    <w:p w14:paraId="6BC5749A" w14:textId="77777777" w:rsidR="00F05D75" w:rsidRDefault="00F05D75" w:rsidP="00F05D75">
      <w:pPr>
        <w:pStyle w:val="NormalWeb"/>
      </w:pPr>
      <w:r>
        <w:t xml:space="preserve">Ils distinguent également le </w:t>
      </w:r>
      <w:r>
        <w:rPr>
          <w:b/>
          <w:bCs/>
        </w:rPr>
        <w:t>prompt-bourgeon</w:t>
      </w:r>
      <w:r>
        <w:t xml:space="preserve"> (bourgeon axillaire qui est apte à se développer l'année de sa formation) du </w:t>
      </w:r>
      <w:r>
        <w:rPr>
          <w:b/>
          <w:bCs/>
        </w:rPr>
        <w:t>bourgeon latent</w:t>
      </w:r>
      <w:r>
        <w:t xml:space="preserve"> (bourgeon axillaire dont le développement est inhibé, parfois pendant de nombreuses années, en raison de l'influence de la </w:t>
      </w:r>
      <w:hyperlink r:id="rId72" w:tooltip="Dominance apicale" w:history="1">
        <w:r>
          <w:rPr>
            <w:rStyle w:val="Lienhypertexte"/>
          </w:rPr>
          <w:t>dominance apicale</w:t>
        </w:r>
      </w:hyperlink>
      <w:r>
        <w:t xml:space="preserve">, de la </w:t>
      </w:r>
      <w:hyperlink r:id="rId73" w:tooltip="Dormance" w:history="1">
        <w:r>
          <w:rPr>
            <w:rStyle w:val="Lienhypertexte"/>
          </w:rPr>
          <w:t>dormance</w:t>
        </w:r>
      </w:hyperlink>
      <w:r>
        <w:t xml:space="preserve"> pour le </w:t>
      </w:r>
      <w:r>
        <w:rPr>
          <w:b/>
          <w:bCs/>
        </w:rPr>
        <w:t>bourgeon dormant</w:t>
      </w:r>
      <w:r>
        <w:t>, ou d'autres facteurs).</w:t>
      </w:r>
    </w:p>
    <w:p w14:paraId="11173A19" w14:textId="77777777" w:rsidR="00F05D75" w:rsidRDefault="00F05D75" w:rsidP="00F05D75">
      <w:pPr>
        <w:pStyle w:val="NormalWeb"/>
      </w:pPr>
      <w:r>
        <w:t xml:space="preserve">Le </w:t>
      </w:r>
      <w:r>
        <w:rPr>
          <w:b/>
          <w:bCs/>
        </w:rPr>
        <w:t>bourgeon proventif</w:t>
      </w:r>
      <w:r>
        <w:t xml:space="preserve"> désigne un bourgeon latent non apparent tandis qu'un </w:t>
      </w:r>
      <w:r>
        <w:rPr>
          <w:b/>
          <w:bCs/>
        </w:rPr>
        <w:t>bourgeon adventif</w:t>
      </w:r>
      <w:r>
        <w:t xml:space="preserve"> se développe après un stress (coupe ou blessure d'un des organes de l'arbre sur les tissus de cicatrisation).</w:t>
      </w:r>
    </w:p>
    <w:p w14:paraId="431C9830" w14:textId="77777777" w:rsidR="00F05D75" w:rsidRDefault="00F05D75" w:rsidP="00F05D75">
      <w:pPr>
        <w:pStyle w:val="NormalWeb"/>
      </w:pPr>
      <w:r>
        <w:t xml:space="preserve">Les bourgeons peuvent être soit écailleux (ex. : </w:t>
      </w:r>
      <w:hyperlink r:id="rId74" w:tooltip="Marronnier" w:history="1">
        <w:r>
          <w:rPr>
            <w:rStyle w:val="Lienhypertexte"/>
          </w:rPr>
          <w:t>marronnier</w:t>
        </w:r>
      </w:hyperlink>
      <w:r>
        <w:t xml:space="preserve">), soit nus (ex. : </w:t>
      </w:r>
      <w:hyperlink r:id="rId75" w:tooltip="Chou de Bruxelles" w:history="1">
        <w:r>
          <w:rPr>
            <w:rStyle w:val="Lienhypertexte"/>
          </w:rPr>
          <w:t>chou de Bruxelles</w:t>
        </w:r>
      </w:hyperlink>
      <w:r>
        <w:t>).</w:t>
      </w:r>
    </w:p>
    <w:p w14:paraId="3B0751BD" w14:textId="77777777" w:rsidR="00F05D75" w:rsidRDefault="00F05D75" w:rsidP="00F05D75">
      <w:pPr>
        <w:pStyle w:val="NormalWeb"/>
      </w:pPr>
      <w:r>
        <w:t>L'éclosion du bourgeon au printemps est nommée « </w:t>
      </w:r>
      <w:hyperlink r:id="rId76" w:tooltip="Débourrement" w:history="1">
        <w:r>
          <w:rPr>
            <w:rStyle w:val="Lienhypertexte"/>
          </w:rPr>
          <w:t>débourrement</w:t>
        </w:r>
      </w:hyperlink>
      <w:r>
        <w:t> ».</w:t>
      </w:r>
    </w:p>
    <w:p w14:paraId="22D79382" w14:textId="77777777" w:rsidR="00F05D75" w:rsidRDefault="00F05D75" w:rsidP="00F05D75">
      <w:pPr>
        <w:pStyle w:val="NormalWeb"/>
      </w:pPr>
      <w:r>
        <w:t xml:space="preserve">Chez les </w:t>
      </w:r>
      <w:hyperlink r:id="rId77" w:tooltip="Arbres fruitiers" w:history="1">
        <w:r>
          <w:rPr>
            <w:rStyle w:val="Lienhypertexte"/>
          </w:rPr>
          <w:t>arbres fruitiers</w:t>
        </w:r>
      </w:hyperlink>
      <w:r>
        <w:t xml:space="preserve"> à pépins, comme le </w:t>
      </w:r>
      <w:hyperlink r:id="rId78" w:tooltip="Pommier" w:history="1">
        <w:r>
          <w:rPr>
            <w:rStyle w:val="Lienhypertexte"/>
          </w:rPr>
          <w:t>pommier</w:t>
        </w:r>
      </w:hyperlink>
      <w:r>
        <w:t xml:space="preserve"> par exemple, on appelle « dard » un bourgeon conique indécis : s'il reçoit beaucoup de sève, il partira à bois, s'il en reçoit peu, il gonflera en bouton à fleur. Un </w:t>
      </w:r>
      <w:r>
        <w:rPr>
          <w:b/>
          <w:bCs/>
        </w:rPr>
        <w:t>dard couronné</w:t>
      </w:r>
      <w:r>
        <w:t xml:space="preserve"> est un dard qui s'est allongé (jusqu'à 4 cm) et se termine par un bouton. On ne le taille pas.</w:t>
      </w:r>
    </w:p>
    <w:p w14:paraId="43429F85" w14:textId="77777777" w:rsidR="00F05D75" w:rsidRDefault="00F05D75" w:rsidP="00F05D75">
      <w:pPr>
        <w:pStyle w:val="NormalWeb"/>
      </w:pPr>
      <w:r>
        <w:t>La bourse, photo ci-contre, produit d'autres bourgeons à fruit, les Latins l'avaient surnommé « perle précieuse » (</w:t>
      </w:r>
      <w:r>
        <w:rPr>
          <w:i/>
          <w:iCs/>
        </w:rPr>
        <w:t>gemma</w:t>
      </w:r>
      <w:r>
        <w:t>).</w:t>
      </w:r>
    </w:p>
    <w:p w14:paraId="6DEE7B1E" w14:textId="77777777" w:rsidR="00F05D75" w:rsidRDefault="00F05D75" w:rsidP="00F05D75">
      <w:pPr>
        <w:pStyle w:val="NormalWeb"/>
      </w:pPr>
      <w:r>
        <w:t xml:space="preserve">Dans le bouton floral tel que la </w:t>
      </w:r>
      <w:hyperlink r:id="rId79" w:tooltip="Câpre" w:history="1">
        <w:r>
          <w:rPr>
            <w:rStyle w:val="Lienhypertexte"/>
          </w:rPr>
          <w:t>câpre</w:t>
        </w:r>
      </w:hyperlink>
      <w:r>
        <w:t xml:space="preserve">, les pièces florales du </w:t>
      </w:r>
      <w:hyperlink r:id="rId80" w:tooltip="Périanthe" w:history="1">
        <w:r>
          <w:rPr>
            <w:rStyle w:val="Lienhypertexte"/>
          </w:rPr>
          <w:t>périanthe</w:t>
        </w:r>
      </w:hyperlink>
      <w:r>
        <w:t xml:space="preserve"> se chevauchent généralement sur les bords, disposition résultant de leur mode de mise en place relativement lent et selon une hélice très condensée.</w:t>
      </w:r>
    </w:p>
    <w:p w14:paraId="600713D7" w14:textId="77777777" w:rsidR="00F11ECB" w:rsidRDefault="00F11ECB"/>
    <w:p w14:paraId="2ED7D2AE" w14:textId="77777777" w:rsidR="00F05D75" w:rsidRDefault="00F05D75"/>
    <w:p w14:paraId="089FD943" w14:textId="09405809" w:rsidR="00F05D75" w:rsidRDefault="00F05D75">
      <w:r>
        <w:t xml:space="preserve">(source : </w:t>
      </w:r>
      <w:proofErr w:type="spellStart"/>
      <w:r>
        <w:t>Wikipedia</w:t>
      </w:r>
      <w:proofErr w:type="spellEnd"/>
      <w:r>
        <w:t xml:space="preserve">) </w:t>
      </w:r>
    </w:p>
    <w:p w14:paraId="7A880118" w14:textId="77777777" w:rsidR="00F11ECB" w:rsidRDefault="00F11ECB"/>
    <w:p w14:paraId="4380EE27" w14:textId="77777777" w:rsidR="00F11ECB" w:rsidRDefault="00F11ECB"/>
    <w:p w14:paraId="7A9076BF" w14:textId="77777777" w:rsidR="00F11ECB" w:rsidRDefault="00F11ECB"/>
    <w:p w14:paraId="13587C54" w14:textId="77777777" w:rsidR="00F11ECB" w:rsidRDefault="00F11ECB"/>
    <w:p w14:paraId="3B99EA51" w14:textId="77777777" w:rsidR="00F11ECB" w:rsidRDefault="00F11ECB"/>
    <w:p w14:paraId="2CF77E01" w14:textId="77777777" w:rsidR="00F11ECB" w:rsidRDefault="00F11ECB"/>
    <w:p w14:paraId="645F337C" w14:textId="77777777" w:rsidR="00F11ECB" w:rsidRDefault="00F11ECB"/>
    <w:p w14:paraId="46A11CA0" w14:textId="77777777" w:rsidR="00F11ECB" w:rsidRDefault="00F11ECB"/>
    <w:p w14:paraId="38DE9A9A" w14:textId="77777777" w:rsidR="00F11ECB" w:rsidRDefault="00F11ECB"/>
    <w:p w14:paraId="2FCDDFFB" w14:textId="77777777" w:rsidR="00F11ECB" w:rsidRDefault="00F11ECB"/>
    <w:p w14:paraId="5CB0DF43" w14:textId="77777777" w:rsidR="00F11ECB" w:rsidRDefault="00F11ECB"/>
    <w:p w14:paraId="16C6E9FA" w14:textId="77777777" w:rsidR="00F11ECB" w:rsidRDefault="00F11ECB"/>
    <w:p w14:paraId="04E16434" w14:textId="77777777" w:rsidR="00F11ECB" w:rsidRDefault="00F11ECB"/>
    <w:p w14:paraId="542610A8" w14:textId="77777777" w:rsidR="00F11ECB" w:rsidRDefault="00F11ECB"/>
    <w:p w14:paraId="38B49943" w14:textId="77777777" w:rsidR="00F11ECB" w:rsidRDefault="00F11ECB"/>
    <w:p w14:paraId="58E1182F" w14:textId="77777777" w:rsidR="00F11ECB" w:rsidRDefault="00F11ECB"/>
    <w:p w14:paraId="484A856D" w14:textId="77777777" w:rsidR="00F11ECB" w:rsidRDefault="00F11ECB"/>
    <w:p w14:paraId="49CA0CDA" w14:textId="77777777" w:rsidR="00F11ECB" w:rsidRDefault="00F11ECB"/>
    <w:p w14:paraId="4CDA50AA" w14:textId="77777777" w:rsidR="00F11ECB" w:rsidRDefault="00F11ECB"/>
    <w:p w14:paraId="5D4753B8" w14:textId="77777777" w:rsidR="00F11ECB" w:rsidRDefault="00F11ECB"/>
    <w:sectPr w:rsidR="00F1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CB"/>
    <w:rsid w:val="009B02D7"/>
    <w:rsid w:val="00C11D0D"/>
    <w:rsid w:val="00F05D75"/>
    <w:rsid w:val="00F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C996"/>
  <w15:chartTrackingRefBased/>
  <w15:docId w15:val="{92E5896B-D1E8-4629-A742-A394EF6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05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ikiwand.com/fr/Culture_de_Cucuteni-Trypillia" TargetMode="External"/><Relationship Id="rId21" Type="http://schemas.openxmlformats.org/officeDocument/2006/relationships/hyperlink" Target="https://www.wikiwand.com/fr/Indo-europ&#233;ens" TargetMode="External"/><Relationship Id="rId42" Type="http://schemas.openxmlformats.org/officeDocument/2006/relationships/hyperlink" Target="https://www.wikiwand.com/fr/Rapha&#235;l_Meltz" TargetMode="External"/><Relationship Id="rId47" Type="http://schemas.openxmlformats.org/officeDocument/2006/relationships/hyperlink" Target="https://www.wikiwand.com/fr/Corne_de_l'Afrique" TargetMode="External"/><Relationship Id="rId63" Type="http://schemas.openxmlformats.org/officeDocument/2006/relationships/hyperlink" Target="https://www.wikiwand.com/fr/Arboriculture" TargetMode="External"/><Relationship Id="rId68" Type="http://schemas.openxmlformats.org/officeDocument/2006/relationships/hyperlink" Target="https://www.wikiwand.com/fr/Basitonie" TargetMode="External"/><Relationship Id="rId16" Type="http://schemas.openxmlformats.org/officeDocument/2006/relationships/hyperlink" Target="https://www.wikiwand.com/fr/Pot_de_Bronocice" TargetMode="External"/><Relationship Id="rId11" Type="http://schemas.openxmlformats.org/officeDocument/2006/relationships/hyperlink" Target="https://www.wikiwand.com/fr/Sumer" TargetMode="External"/><Relationship Id="rId32" Type="http://schemas.openxmlformats.org/officeDocument/2006/relationships/hyperlink" Target="https://en.wikipedia.org/wiki/Ljubljana%20Marshes%20Wheel" TargetMode="External"/><Relationship Id="rId37" Type="http://schemas.openxmlformats.org/officeDocument/2006/relationships/hyperlink" Target="https://www.wikiwand.com/fr/Am&#233;rique_pr&#233;colombienne" TargetMode="External"/><Relationship Id="rId53" Type="http://schemas.openxmlformats.org/officeDocument/2006/relationships/hyperlink" Target="https://www.wikiwand.com/fr/-2000" TargetMode="External"/><Relationship Id="rId58" Type="http://schemas.openxmlformats.org/officeDocument/2006/relationships/hyperlink" Target="https://www.wikiwand.com/fr/Steppe_eurasienne" TargetMode="External"/><Relationship Id="rId74" Type="http://schemas.openxmlformats.org/officeDocument/2006/relationships/hyperlink" Target="https://www.wikiwand.com/fr/Marronnier" TargetMode="External"/><Relationship Id="rId79" Type="http://schemas.openxmlformats.org/officeDocument/2006/relationships/hyperlink" Target="https://www.wikiwand.com/fr/C&#226;pre" TargetMode="External"/><Relationship Id="rId5" Type="http://schemas.openxmlformats.org/officeDocument/2006/relationships/hyperlink" Target="https://www.wikiwand.com/fr/Mode_(habillement)" TargetMode="External"/><Relationship Id="rId61" Type="http://schemas.openxmlformats.org/officeDocument/2006/relationships/hyperlink" Target="https://www.wikiwand.com/fr/Inflorescence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wikiwand.com/fr/Culture_des_vases_&#224;_entonnoir" TargetMode="External"/><Relationship Id="rId14" Type="http://schemas.openxmlformats.org/officeDocument/2006/relationships/hyperlink" Target="https://www.wikiwand.com/fr/Pictogramme" TargetMode="External"/><Relationship Id="rId22" Type="http://schemas.openxmlformats.org/officeDocument/2006/relationships/hyperlink" Target="https://www.wikiwand.com/fr/Culture_de_Yamna" TargetMode="External"/><Relationship Id="rId27" Type="http://schemas.openxmlformats.org/officeDocument/2006/relationships/hyperlink" Target="https://www.wikiwand.com/fr/Ukraine" TargetMode="External"/><Relationship Id="rId30" Type="http://schemas.openxmlformats.org/officeDocument/2006/relationships/hyperlink" Target="https://www.wikiwand.com/fr/Art&#233;fact_(arch&#233;ologie)" TargetMode="External"/><Relationship Id="rId35" Type="http://schemas.openxmlformats.org/officeDocument/2006/relationships/hyperlink" Target="https://www.wikiwand.com/fr/Culture_de_Baden" TargetMode="External"/><Relationship Id="rId43" Type="http://schemas.openxmlformats.org/officeDocument/2006/relationships/hyperlink" Target="https://www.wikiwand.com/fr/Pont_de_corde_inca" TargetMode="External"/><Relationship Id="rId48" Type="http://schemas.openxmlformats.org/officeDocument/2006/relationships/hyperlink" Target="https://www.wikiwand.com/fr/Oc&#233;anie" TargetMode="External"/><Relationship Id="rId56" Type="http://schemas.openxmlformats.org/officeDocument/2006/relationships/hyperlink" Target="https://www.wikiwand.com/fr/Char" TargetMode="External"/><Relationship Id="rId64" Type="http://schemas.openxmlformats.org/officeDocument/2006/relationships/hyperlink" Target="https://www.wikiwand.com/fr/Adventif" TargetMode="External"/><Relationship Id="rId69" Type="http://schemas.openxmlformats.org/officeDocument/2006/relationships/hyperlink" Target="https://www.wikiwand.com/fr/Arbuste" TargetMode="External"/><Relationship Id="rId77" Type="http://schemas.openxmlformats.org/officeDocument/2006/relationships/hyperlink" Target="https://www.wikiwand.com/fr/Arbres_fruitiers" TargetMode="External"/><Relationship Id="rId8" Type="http://schemas.openxmlformats.org/officeDocument/2006/relationships/hyperlink" Target="https://www.wikiwand.com/fr/Proche-Orient" TargetMode="External"/><Relationship Id="rId51" Type="http://schemas.openxmlformats.org/officeDocument/2006/relationships/hyperlink" Target="https://www.wikiwand.com/fr/Char_de_combat" TargetMode="External"/><Relationship Id="rId72" Type="http://schemas.openxmlformats.org/officeDocument/2006/relationships/hyperlink" Target="https://www.wikiwand.com/fr/Dominance_apicale" TargetMode="External"/><Relationship Id="rId80" Type="http://schemas.openxmlformats.org/officeDocument/2006/relationships/hyperlink" Target="https://www.wikiwand.com/fr/P&#233;rianth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wikiwand.com/fr/M&#233;sopotamie" TargetMode="External"/><Relationship Id="rId17" Type="http://schemas.openxmlformats.org/officeDocument/2006/relationships/hyperlink" Target="https://www.wikiwand.com/fr/Pologne" TargetMode="External"/><Relationship Id="rId25" Type="http://schemas.openxmlformats.org/officeDocument/2006/relationships/hyperlink" Target="https://www.wikiwand.com/fr/Caucase" TargetMode="External"/><Relationship Id="rId33" Type="http://schemas.openxmlformats.org/officeDocument/2006/relationships/hyperlink" Target="https://www.wikiwand.com/fr/N&#233;olithique" TargetMode="External"/><Relationship Id="rId38" Type="http://schemas.openxmlformats.org/officeDocument/2006/relationships/hyperlink" Target="https://www.wikiwand.com/fr/Inca" TargetMode="External"/><Relationship Id="rId46" Type="http://schemas.openxmlformats.org/officeDocument/2006/relationships/hyperlink" Target="https://www.wikiwand.com/fr/Afrique_subsaharienne" TargetMode="External"/><Relationship Id="rId59" Type="http://schemas.openxmlformats.org/officeDocument/2006/relationships/hyperlink" Target="https://www.wikiwand.com/fr/Kourgane" TargetMode="External"/><Relationship Id="rId67" Type="http://schemas.openxmlformats.org/officeDocument/2006/relationships/hyperlink" Target="https://www.wikiwand.com/fr/Acrotonie" TargetMode="External"/><Relationship Id="rId20" Type="http://schemas.openxmlformats.org/officeDocument/2006/relationships/hyperlink" Target="https://www.wikiwand.com/fr/Kourgane" TargetMode="External"/><Relationship Id="rId41" Type="http://schemas.openxmlformats.org/officeDocument/2006/relationships/hyperlink" Target="https://www.wikiwand.com/fr/Alain_Gras" TargetMode="External"/><Relationship Id="rId54" Type="http://schemas.openxmlformats.org/officeDocument/2006/relationships/hyperlink" Target="https://www.wikiwand.com/fr/Culture_de_Sintashta" TargetMode="External"/><Relationship Id="rId62" Type="http://schemas.openxmlformats.org/officeDocument/2006/relationships/hyperlink" Target="https://www.wikiwand.com/fr/Induction_florale" TargetMode="External"/><Relationship Id="rId70" Type="http://schemas.openxmlformats.org/officeDocument/2006/relationships/hyperlink" Target="https://www.wikiwand.com/fr/Morphog&#233;n&#232;se" TargetMode="External"/><Relationship Id="rId75" Type="http://schemas.openxmlformats.org/officeDocument/2006/relationships/hyperlink" Target="https://www.wikiwand.com/fr/Chou_de_Bruxell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ikiwand.com/fr/Ombrelle" TargetMode="External"/><Relationship Id="rId15" Type="http://schemas.openxmlformats.org/officeDocument/2006/relationships/hyperlink" Target="https://www.wikiwand.com/fr/Aide:R&#233;f&#233;rence_n&#233;cessaire" TargetMode="External"/><Relationship Id="rId23" Type="http://schemas.openxmlformats.org/officeDocument/2006/relationships/hyperlink" Target="https://www.wikiwand.com/fr/Culture_de_Ma&#239;kop" TargetMode="External"/><Relationship Id="rId28" Type="http://schemas.openxmlformats.org/officeDocument/2006/relationships/hyperlink" Target="https://www.wikiwand.com/fr/Ljubljana" TargetMode="External"/><Relationship Id="rId36" Type="http://schemas.openxmlformats.org/officeDocument/2006/relationships/hyperlink" Target="https://www.wikiwand.com/fr/Hongrie" TargetMode="External"/><Relationship Id="rId49" Type="http://schemas.openxmlformats.org/officeDocument/2006/relationships/hyperlink" Target="https://www.wikiwand.com/fr/Empire_colonial" TargetMode="External"/><Relationship Id="rId57" Type="http://schemas.openxmlformats.org/officeDocument/2006/relationships/hyperlink" Target="https://www.wikiwand.com/fr/Langues_indo-iraniennes" TargetMode="External"/><Relationship Id="rId10" Type="http://schemas.openxmlformats.org/officeDocument/2006/relationships/hyperlink" Target="https://www.wikiwand.com/fr/Invention_(technique)" TargetMode="External"/><Relationship Id="rId31" Type="http://schemas.openxmlformats.org/officeDocument/2006/relationships/hyperlink" Target="https://www.wikiwand.com/fr/N&#233;olithique" TargetMode="External"/><Relationship Id="rId44" Type="http://schemas.openxmlformats.org/officeDocument/2006/relationships/hyperlink" Target="https://www.wikiwand.com/fr/Jared_Diamond" TargetMode="External"/><Relationship Id="rId52" Type="http://schemas.openxmlformats.org/officeDocument/2006/relationships/hyperlink" Target="https://www.wikiwand.com/fr/Culture_de_Sintashta" TargetMode="External"/><Relationship Id="rId60" Type="http://schemas.openxmlformats.org/officeDocument/2006/relationships/hyperlink" Target="https://www.wikiwand.com/fr/Organe" TargetMode="External"/><Relationship Id="rId65" Type="http://schemas.openxmlformats.org/officeDocument/2006/relationships/hyperlink" Target="https://www.wikiwand.com/fr/Stipulaire" TargetMode="External"/><Relationship Id="rId73" Type="http://schemas.openxmlformats.org/officeDocument/2006/relationships/hyperlink" Target="https://www.wikiwand.com/fr/Dormance" TargetMode="External"/><Relationship Id="rId78" Type="http://schemas.openxmlformats.org/officeDocument/2006/relationships/hyperlink" Target="https://www.wikiwand.com/fr/Pommier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wikiwand.com/fr/Antiquit&#233;" TargetMode="External"/><Relationship Id="rId9" Type="http://schemas.openxmlformats.org/officeDocument/2006/relationships/hyperlink" Target="https://www.wikiwand.com/fr/N&#233;olithique" TargetMode="External"/><Relationship Id="rId13" Type="http://schemas.openxmlformats.org/officeDocument/2006/relationships/hyperlink" Target="https://www.wikiwand.com/fr/IVe_mill&#233;naire_av._J.-C." TargetMode="External"/><Relationship Id="rId18" Type="http://schemas.openxmlformats.org/officeDocument/2006/relationships/hyperlink" Target="https://www.wikiwand.com/fr/-3500" TargetMode="External"/><Relationship Id="rId39" Type="http://schemas.openxmlformats.org/officeDocument/2006/relationships/hyperlink" Target="https://www.wikiwand.com/fr/Civilisation_maya" TargetMode="External"/><Relationship Id="rId34" Type="http://schemas.openxmlformats.org/officeDocument/2006/relationships/hyperlink" Target="https://www.wikiwand.com/fr/Sites_palafittiques_pr&#233;historiques_autour_des_Alpes" TargetMode="External"/><Relationship Id="rId50" Type="http://schemas.openxmlformats.org/officeDocument/2006/relationships/hyperlink" Target="https://www.wikiwand.com/fr/Bois" TargetMode="External"/><Relationship Id="rId55" Type="http://schemas.openxmlformats.org/officeDocument/2006/relationships/hyperlink" Target="https://www.wikiwand.com/fr/Oural" TargetMode="External"/><Relationship Id="rId76" Type="http://schemas.openxmlformats.org/officeDocument/2006/relationships/hyperlink" Target="https://www.wikiwand.com/fr/D&#233;bourrement" TargetMode="External"/><Relationship Id="rId7" Type="http://schemas.openxmlformats.org/officeDocument/2006/relationships/hyperlink" Target="https://www.wikiwand.com/fr/Europe" TargetMode="External"/><Relationship Id="rId71" Type="http://schemas.openxmlformats.org/officeDocument/2006/relationships/hyperlink" Target="https://www.wikiwand.com/fr/Port_(botanique)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wikiwand.com/fr/Slov&#233;nie" TargetMode="External"/><Relationship Id="rId24" Type="http://schemas.openxmlformats.org/officeDocument/2006/relationships/hyperlink" Target="https://www.wikiwand.com/fr/Kouban" TargetMode="External"/><Relationship Id="rId40" Type="http://schemas.openxmlformats.org/officeDocument/2006/relationships/hyperlink" Target="https://www.wikiwand.com/fr/Terre_cuite" TargetMode="External"/><Relationship Id="rId45" Type="http://schemas.openxmlformats.org/officeDocument/2006/relationships/hyperlink" Target="https://www.wikiwand.com/fr/Am&#233;rindiens" TargetMode="External"/><Relationship Id="rId66" Type="http://schemas.openxmlformats.org/officeDocument/2006/relationships/hyperlink" Target="https://www.wikiwand.com/fr/Arb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2280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tirado</dc:creator>
  <cp:keywords/>
  <dc:description/>
  <cp:lastModifiedBy>anthony tirado</cp:lastModifiedBy>
  <cp:revision>2</cp:revision>
  <dcterms:created xsi:type="dcterms:W3CDTF">2024-06-08T12:59:00Z</dcterms:created>
  <dcterms:modified xsi:type="dcterms:W3CDTF">2024-06-08T13:02:00Z</dcterms:modified>
</cp:coreProperties>
</file>